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kernel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prophets.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whosoever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abused.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Austin.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baptized.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guaranteed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misconceptions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unreasonable.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encompass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trustworthy.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trustworthy.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fruitful.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unfaithful,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Abraham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Hebrews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Israel.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Ancestors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Abraham.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Abraham?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Abraham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Pilgrim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Isaac,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eternity.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embodiment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Hebrews,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Abraham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reckoned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righteousness.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annunciation.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Gabriel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Messiah.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golden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interiorize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annunciation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incarnation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abnegation,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Martha.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abandon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vehicles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disappointment.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tired.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collapse.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inextricably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IBB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roadblocks,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sympathize.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sympathize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sympathize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apprehend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plausible.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Anselm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quadrants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inscrutable,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ineffable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almighty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trustworthy.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absurd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precisely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subjective?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apostles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bishops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yesterday,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unchangeable?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Hebrews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yesterday,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dimension.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apostles.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Bishop,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authentic,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apostles,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sanctifier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circumstance?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paragraph.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disposition,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ballooned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chemistry,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paradox.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slightest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empirical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shadow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Einstein's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sacrament.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immaculate.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Bruno.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liquidator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coerced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Vatican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propagation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disposed,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Axiom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authentic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Baptism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godparents.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one-on-one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exclusive.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transubstantiation,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formulas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Aquinas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bulwark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Vatican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windows.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safeguarded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unchangeable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catechism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Vatican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Vatican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council.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unchangeable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commensurate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impoverished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Hebrews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Gideon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Jephthah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Samuel,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prophets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conquered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kingdoms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quenched,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resurrection,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scourging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imprisonment.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destitute,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afflicted,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Parfitt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